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be62ffe034af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22154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J. U.  PARK PRIRODE KOPAČKI RIT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1.764.988,28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2.082.101,54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1.569.658,19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1.928.518,85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195.330,09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153.582,69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181.983,34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213.966,09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180.456,34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213.966,09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60.383,40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Rezultat poslovanja 2025. po izvorima financiranja:</w:t>
      </w:r>
    </w:p>
    <w:p>
      <w:pPr>
        <w:pStyle w:val="ListParagraph"/>
        <w:numPr>
          <w:ilvl w:val="0"/>
          <w:numId w:val="2"/>
        </w:numPr>
      </w:pPr>
      <w:r>
        <w:t xml:space="preserve">izvor 11 - manjak prihoda 70.966,87 € (knjižena 13- plaća)</w:t>
      </w:r>
    </w:p>
    <w:p>
      <w:pPr>
        <w:pStyle w:val="ListParagraph"/>
        <w:numPr>
          <w:ilvl w:val="0"/>
          <w:numId w:val="2"/>
        </w:numPr>
      </w:pPr>
      <w:r>
        <w:t xml:space="preserve">izvor 51 - manjak prihoda 20.944,58 € (rashodi projekata u 2025. intenzivniji u odnosu na raspoložive prihode)</w:t>
      </w:r>
    </w:p>
    <w:p>
      <w:pPr>
        <w:pStyle w:val="ListParagraph"/>
        <w:numPr>
          <w:ilvl w:val="0"/>
          <w:numId w:val="2"/>
        </w:numPr>
      </w:pPr>
      <w:r>
        <w:t xml:space="preserve">izvor 71 - manjak prihoda 769,08 € </w:t>
      </w:r>
    </w:p>
    <w:p>
      <w:pPr>
        <w:pStyle w:val="ListParagraph"/>
        <w:numPr>
          <w:ilvl w:val="0"/>
          <w:numId w:val="2"/>
        </w:numPr>
      </w:pPr>
      <w:r>
        <w:t xml:space="preserve">izvor 61 - višak prihoda 2.337,57 € (neutrošena sredstva od donacija)</w:t>
      </w:r>
    </w:p>
    <w:p>
      <w:pPr>
        <w:pStyle w:val="ListParagraph"/>
        <w:numPr>
          <w:ilvl w:val="0"/>
          <w:numId w:val="2"/>
        </w:numPr>
      </w:pPr>
      <w:r>
        <w:t xml:space="preserve">izvor 31 - manjak prihoda 9.991,52 €</w:t>
      </w:r>
    </w:p>
    <w:p>
      <w:pPr>
        <w:pStyle w:val="ListParagraph"/>
        <w:numPr>
          <w:ilvl w:val="0"/>
          <w:numId w:val="2"/>
        </w:numPr>
      </w:pPr>
      <w:r>
        <w:t xml:space="preserve">izvor 43 - manjak prihoda 256,63 €</w:t>
      </w:r>
    </w:p>
    <w:p>
      <w:pPr>
        <w:pStyle w:val="ListParagraph"/>
        <w:numPr>
          <w:ilvl w:val="0"/>
          <w:numId w:val="2"/>
        </w:numPr>
      </w:pPr>
      <w:r>
        <w:t xml:space="preserve">izvor 52 - višak prihoda 40.207,71 € (najveći udio u višku su: zajednička sredstva 2025. i 2024., projekti uglavnom u manjku prihoda)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međunarodnih organizacija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20.941,26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38.752,38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185,1</w:t>
            </w:r>
          </w:p>
        </w:tc>
      </w:tr>
    </w:tbl>
    <w:p>
      <w:pPr>
        <w:spacing w:before="0" w:after="0"/>
      </w:pPr>
    </w:p>
    <w:p>
      <w:r>
        <w:t xml:space="preserve">sredstva primljena: od Asocijacije Dunavski parkovi za refundaciju troškova 756,97 €,  </w:t>
      </w:r>
    </w:p>
    <w:p>
      <w:r>
        <w:t xml:space="preserve">za provedbu međunarodnog projekta „Restoring the Amazon on Europa“ koji vodi WWF Adria 37.995,41 € - oba izvori 52.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72.831,60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70.894,20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97,3</w:t>
            </w:r>
          </w:p>
        </w:tc>
      </w:tr>
    </w:tbl>
    <w:p>
      <w:pPr>
        <w:spacing w:before="0" w:after="0"/>
      </w:pPr>
    </w:p>
    <w:p>
      <w:r>
        <w:t xml:space="preserve">prihod za realizaciju projekta Life Danube free sky (LDFS) 24.277,20 €, prihod za realizaciju projekta Life Wildisland 46.617,00 € - oba izvori 51, programsko razdoblje staro 2014.-2020.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55.490,34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149.153,33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268,8</w:t>
            </w:r>
          </w:p>
        </w:tc>
      </w:tr>
    </w:tbl>
    <w:p>
      <w:pPr>
        <w:spacing w:before="0" w:after="0"/>
      </w:pPr>
    </w:p>
    <w:p>
      <w:r>
        <w:t xml:space="preserve">prihodi od FZOIEU: za pokriće tekućih rashoda realizacije projekta „S manje invazivnih vrsta“ 7.459,89 €, projekta „Pristupačniji i otporniji Kopački rit“ 24.084,16 €, projekt „Projektna dokumentacija ekosustava“ 97.600,00 €, za pokriće rashoda manifestacije Jučer danas sutra 2025. god. 20.009,28 €.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od izvanproračunskih korisnika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102.992,34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80.147,00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</w:t>
            </w:r>
          </w:p>
        </w:tc>
      </w:tr>
    </w:tbl>
    <w:p>
      <w:pPr>
        <w:spacing w:before="0" w:after="0"/>
      </w:pPr>
    </w:p>
    <w:p>
      <w:r>
        <w:t xml:space="preserve">prihodi od FZOIEU za pokriće kapitalnih rashoda realizacije projekta „S manje invazivnih vrsta“ 66.266,20 €, te projekta „Pristupačniji i otporniji Kopački rit“ 13.880,80 €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46,5</w:t>
            </w:r>
          </w:p>
        </w:tc>
      </w:tr>
    </w:tbl>
    <w:p>
      <w:pPr>
        <w:spacing w:before="0" w:after="0"/>
      </w:pPr>
    </w:p>
    <w:p>
      <w:r>
        <w:t xml:space="preserve">prihod od Osječko-baranjske županije kao potpora za troškove provedbe manifestacije Jučer, danas, sutra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10.288,31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137.135,85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1332,9</w:t>
            </w:r>
          </w:p>
        </w:tc>
      </w:tr>
    </w:tbl>
    <w:p>
      <w:pPr>
        <w:spacing w:before="0" w:after="0"/>
      </w:pPr>
    </w:p>
    <w:p>
      <w:r>
        <w:t xml:space="preserve">prihodi dobiveni od Ministarstva poljoprivrede temeljem Sporazuma o suradnji u provedbi mjere II.10. „Akvakultura koja osigurava usluge zaštite okoliša“ (nadzor ribnjaka) 634,18 €; prihodi dobiveni od nadležnog proračuna – Zajednička sredstva 2024. 12.701,00 € i Zajednička sredstva 2025. 108.112,45 €; prihodi od Sveučilišta u Osijeku  za realizaciju projekta „Budi u prirodi“ 15.000,00 €, prihodi od Agencije za plaćanje u poljoprivredi, ribarstvu i ruralnom razvoju (Podolci pasmina za 2024.) 688,22 €.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41.865,00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116.511,51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278,3</w:t>
            </w:r>
          </w:p>
        </w:tc>
      </w:tr>
    </w:tbl>
    <w:p>
      <w:pPr>
        <w:spacing w:before="0" w:after="0"/>
      </w:pPr>
    </w:p>
    <w:p>
      <w:r>
        <w:t xml:space="preserve">prihodi dobiveni od nadležnog proračuna – Zajednička sredstva 2024. 103.491,85 € i Zajednička sredstva 2025. 13.019,66 €, za pokriće kapitalnih rashoda.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30.680,29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4.232,65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13,8</w:t>
            </w:r>
          </w:p>
        </w:tc>
      </w:tr>
    </w:tbl>
    <w:p>
      <w:pPr>
        <w:spacing w:before="0" w:after="0"/>
      </w:pPr>
    </w:p>
    <w:p>
      <w:r>
        <w:t xml:space="preserve">iznos 1.479,75 € dobivenih od Ministarstva poljoprivrede temeljem Sporazuma o suradnji u provedbi mjere II.10 „Akvakultura koja osigurava usluge zaštite okoliša“ (nadzor ribnjaka) i 2.752,90 € od Agencije za plaćanje u poljoprivredi, ribarstvu i ruralnom razvoju (Podolci pasmina za 2024.)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29.559,20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18.363,20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62,1</w:t>
            </w:r>
          </w:p>
        </w:tc>
      </w:tr>
    </w:tbl>
    <w:p>
      <w:pPr>
        <w:spacing w:before="0" w:after="0"/>
      </w:pPr>
    </w:p>
    <w:p>
      <w:r>
        <w:t xml:space="preserve">čini prihod od ulaznica u Park.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52.221,07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67.764,14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</w:tbl>
    <w:p>
      <w:pPr>
        <w:spacing w:before="0" w:after="0"/>
      </w:pPr>
    </w:p>
    <w:p>
      <w:r>
        <w:t xml:space="preserve">  čini prihod od prodaje robe u suvenirnicama na Prijemnom centru i PEC Tikveš.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397.998,15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424.447,27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sadrži:</w:t>
      </w:r>
    </w:p>
    <w:p>
      <w:r>
        <w:t xml:space="preserve">Prihod od posjetitelja 341.920,96 €</w:t>
      </w:r>
    </w:p>
    <w:p>
      <w:r>
        <w:t xml:space="preserve">Prihod od ribolovnih dozvola 44.712,75 €</w:t>
      </w:r>
    </w:p>
    <w:p>
      <w:r>
        <w:t xml:space="preserve">Prihod od koncesijskog odobrenja i zakupa 9.579,92 €</w:t>
      </w:r>
    </w:p>
    <w:p>
      <w:r>
        <w:t xml:space="preserve">Prihod od stručnog vođenja 8.077,60 €</w:t>
      </w:r>
    </w:p>
    <w:p>
      <w:r>
        <w:t xml:space="preserve">Prihod od fotografiranja 2.326,80 €</w:t>
      </w:r>
    </w:p>
    <w:p>
      <w:r>
        <w:t xml:space="preserve">Prihod od programa promatranja ptica 896,00 €</w:t>
      </w:r>
    </w:p>
    <w:p>
      <w:r>
        <w:t xml:space="preserve">Prihodi od najma prostora, radnih strojeva, refund.režijskih troškova 16.933,24 €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7.681,40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40,4</w:t>
            </w:r>
          </w:p>
        </w:tc>
      </w:tr>
    </w:tbl>
    <w:p>
      <w:pPr>
        <w:spacing w:before="0" w:after="0"/>
      </w:pPr>
    </w:p>
    <w:p>
      <w:r>
        <w:t xml:space="preserve">uplata donacija za troškove manifestacije Jučer danas sutra 2025. od trgovačkih društava.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922.860,23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930.056,38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100,8</w:t>
            </w:r>
          </w:p>
        </w:tc>
      </w:tr>
    </w:tbl>
    <w:p>
      <w:pPr>
        <w:spacing w:before="0" w:after="0"/>
      </w:pPr>
    </w:p>
    <w:p>
      <w:r>
        <w:t xml:space="preserve">sadrži prihode dobivene iz nadležnog proračuna:</w:t>
      </w:r>
    </w:p>
    <w:p>
      <w:r>
        <w:t xml:space="preserve">Prihod za plaće 809.793,54 €</w:t>
      </w:r>
    </w:p>
    <w:p>
      <w:r>
        <w:t xml:space="preserve">Prihod za naknadu prijevoza 26.325,85 €</w:t>
      </w:r>
    </w:p>
    <w:p>
      <w:r>
        <w:t xml:space="preserve">Prihod za ostale naknade zaposlenima 20.936,99 €</w:t>
      </w:r>
    </w:p>
    <w:p>
      <w:r>
        <w:t xml:space="preserve">Prihod za pokriće materijalnih rashoda  73.000,00 €.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2.242,65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33.467,08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1492,3</w:t>
            </w:r>
          </w:p>
        </w:tc>
      </w:tr>
    </w:tbl>
    <w:p>
      <w:pPr>
        <w:spacing w:before="0" w:after="0"/>
      </w:pPr>
    </w:p>
    <w:p>
      <w:r>
        <w:t xml:space="preserve">izvanredni prihodi 13,5 €, prihod od sudskog spora 31.463,58 €, prihod od kotizacije za sudjelovanje na manifestaciji Jučer danas sutra 2025. 1.990,00 €.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4.063,52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14.260,13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350,9</w:t>
            </w:r>
          </w:p>
        </w:tc>
      </w:tr>
    </w:tbl>
    <w:p>
      <w:pPr>
        <w:spacing w:before="0" w:after="0"/>
      </w:pPr>
    </w:p>
    <w:p>
      <w:r>
        <w:t xml:space="preserve">13.787,16 € odnosi se na realizaciju projekta „Restoring the Amazon on Europa“ koji vodi WWF Adria (izvor 52)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198,2</w:t>
            </w:r>
          </w:p>
        </w:tc>
      </w:tr>
    </w:tbl>
    <w:p>
      <w:pPr>
        <w:spacing w:before="0" w:after="0"/>
      </w:pPr>
    </w:p>
    <w:p>
      <w:r>
        <w:t xml:space="preserve">2.383,34 € su rashodi obveznih zdravstvenih pregleda zaposlenika (sistematski pregledi svake dvije godine)</w:t>
      </w:r>
    </w:p>
    <w:p>
      <w:r>
        <w:t xml:space="preserve">1.428,55 € su rashodi veterinarskih usluga, od čega na projekt projekta Life Danube free sky otpada 1.404,46 €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39.776,68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182.514,94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458,8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usluga odvjetnika i pravnog savjetovanja u iznosu 26.896,37 € najvećim dijelom čini trošak zastupanja u parničnom postupku s dobavljačem Teh-gradnja d.o.o. u iznosu 25.096,37 €</w:t>
      </w:r>
    </w:p>
    <w:p>
      <w:pPr>
        <w:pStyle w:val="ListParagraph"/>
        <w:numPr>
          <w:ilvl w:val="0"/>
          <w:numId w:val="2"/>
        </w:numPr>
      </w:pPr>
      <w:r>
        <w:t xml:space="preserve">rashodi studentskog servisa 10.624,29 €</w:t>
      </w:r>
    </w:p>
    <w:p>
      <w:pPr>
        <w:pStyle w:val="ListParagraph"/>
        <w:numPr>
          <w:ilvl w:val="0"/>
          <w:numId w:val="2"/>
        </w:numPr>
      </w:pPr>
      <w:r>
        <w:t xml:space="preserve">rashodi znanstvenoistraživačkih usluga 25.692,24 €, najvećim dijelom (21.732,24 €) odnose se na troškove realizacije projekta Life Danube free sky, te troškove projekta "S manje invazivnih vrsta " (3.960,00 €)</w:t>
      </w:r>
    </w:p>
    <w:p>
      <w:pPr>
        <w:pStyle w:val="ListParagraph"/>
        <w:numPr>
          <w:ilvl w:val="0"/>
          <w:numId w:val="2"/>
        </w:numPr>
      </w:pPr>
      <w:r>
        <w:t xml:space="preserve">rashodi za ostale intelektualne usluge 114.260,00 € najvećim dijelom odnose se na troškove realizacije projekata: „Restoring the Amazon on Europa“ koji vodi WWF Adria 950,00 €, projektna dokumentacija ekosustava 97.600,00 €, manifestacija Jučer danas sutra 2025. 4.600,00 €, projekt Life Wildisland 3.530,00 €, projekt Danubedragon Conservation 5.960,00 €.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21.726,57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32.569,06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149,9</w:t>
            </w:r>
          </w:p>
        </w:tc>
      </w:tr>
    </w:tbl>
    <w:p>
      <w:pPr>
        <w:spacing w:before="0" w:after="0"/>
      </w:pPr>
    </w:p>
    <w:p>
      <w:r>
        <w:t xml:space="preserve">zbog promjene cijene, povećanja većeg od 100%, pristojba za uporabu dozvole koje se plaća po putniku na brodu - iznosi 17.866,00 €, trošak je s najvećim udjelom u ukupnom rahodu (uz naknadu za prodaju ribolovnih dozvola 7.060,34 €)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8.370,61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11.010,14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r>
        <w:t xml:space="preserve">rashod čini 3% uplate vlastitih sredstava u dražavni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74.240,92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104.441,84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140,7</w:t>
            </w:r>
          </w:p>
        </w:tc>
      </w:tr>
    </w:tbl>
    <w:p>
      <w:pPr>
        <w:spacing w:before="0" w:after="0"/>
      </w:pPr>
    </w:p>
    <w:p>
      <w:r>
        <w:t xml:space="preserve">rashod se odnosi na realizaciju ugradnje solarnih panela na objekte Prijemnog centra i Tikveša ( 103.491,85 € - zajednička sredstva 2024.)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1.565,22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4.740,25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za nabavu računala - za multimedijalnu salu na Prijemnom centru i osobno računalo za djelatnicu ustanove (1.982,26 €)</w:t>
      </w:r>
    </w:p>
    <w:p>
      <w:pPr>
        <w:pStyle w:val="ListParagraph"/>
        <w:numPr>
          <w:ilvl w:val="0"/>
          <w:numId w:val="2"/>
        </w:numPr>
      </w:pPr>
      <w:r>
        <w:t xml:space="preserve">rashodi za namještaj - regali, uredske stolice, stolovi, police za opremanje Bioekološke stanice u Tikvešu (2.757,99 €)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rashod za nabavu novih 7 mobitela za djelatnike Ustanove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6.192,08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346,7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klime za prostorije u Bioekološkoj stanici u Tikvešu 5.998,00 €, vatrogasni aparati 194,08 €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35.716,19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31.362,38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za nabavu iz projekta "S manje invazivnih vrsta" (10.616,98 €) - vanbrodski motor, oprema i alati, autoprikolica</w:t>
      </w:r>
    </w:p>
    <w:p>
      <w:pPr>
        <w:pStyle w:val="ListParagraph"/>
        <w:numPr>
          <w:ilvl w:val="0"/>
          <w:numId w:val="2"/>
        </w:numPr>
      </w:pPr>
      <w:r>
        <w:t xml:space="preserve">rashodi za nabavu iz projekta „Restoring the Amazon on Europa“ WWF Adria (15.035,04 €) - motorne pile, vanbrodski motori, visokotlačni čistač, fotoaparat, brodska prikolica</w:t>
      </w:r>
    </w:p>
    <w:p>
      <w:pPr>
        <w:pStyle w:val="ListParagraph"/>
        <w:numPr>
          <w:ilvl w:val="0"/>
          <w:numId w:val="2"/>
        </w:numPr>
      </w:pPr>
      <w:r>
        <w:t xml:space="preserve">rashodi za nabavu iz projekta "Pristupačniji i otporniji Kopački rit" (4.280,80 €) i sufinanciranje Zajednička sredstva 2025. (1.070.20 €) - panoramski teleskopi </w:t>
      </w:r>
    </w:p>
    <w:p>
      <w:pPr>
        <w:pStyle w:val="ListParagraph"/>
        <w:numPr>
          <w:ilvl w:val="0"/>
          <w:numId w:val="2"/>
        </w:numPr>
      </w:pPr>
      <w:r>
        <w:t xml:space="preserve">rashodi za nabavu termovizijske kamere (359,20 €)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54.185,00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nabava traktora i malčera iz projekta "S manje invazivnih vrsta" (FZOIEU)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68.673,10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12.529,35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r>
        <w:t xml:space="preserve">radovi na izgradnji promatračnice na pristaništu (uz prateći objekat) financirano iz projekta "Pristupačniji o otporniji Kopački rit" (FZOIEU) 9.600,00 €, Zajedničkih sredstava 2025. 2.457,76 €, vlastitih sredstava 471,59 €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izmjene rezultata u tijeku 2025. došlo je zbog okončanja sudskog spora s dobavljačem Teh-gradnja d.o.o. pri čemu je Ustanova dobila spor.</w:t>
      </w:r>
    </w:p>
    <w:p>
      <w:r>
        <w:t xml:space="preserve">Obveza koja je više godina bila sporna u iznosu 347.075,76 € utjecala je na rezultat poslovanja 2024.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89.732,32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Nepostojeći konto od 2025.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11.722,59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konta 23951 i 23953 u iznosu 11.168,51 € prelaze na podskupinu 27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25.600,89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sadrži početna stanja konta 23951 i 23953 (11.168,51 €)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24.356,93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32.142,93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</w:tbl>
    <w:p>
      <w:pPr>
        <w:spacing w:before="0" w:after="0"/>
      </w:pPr>
    </w:p>
    <w:p>
      <w:r>
        <w:t xml:space="preserve">roba za daljnju prodaju u komisiji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24.356,93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32.142,93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132,0</w:t>
            </w:r>
          </w:p>
        </w:tc>
      </w:tr>
    </w:tbl>
    <w:p>
      <w:pPr>
        <w:spacing w:before="0" w:after="0"/>
      </w:pPr>
    </w:p>
    <w:p>
      <w:r>
        <w:t xml:space="preserve">Roba za daljnju prodaju u komisiji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od nefinancijske imovine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347.075,76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izmjene rezultata u tijeku 2025. došlo je zbog okončanja sudskog spora s dobavljačem Teh-gradnja d.o.o. pri čemu je Ustanova dobila spor.</w:t>
      </w:r>
    </w:p>
    <w:p>
      <w:r>
        <w:t xml:space="preserve">Obveza za nefinancijsku imovinu koja je više godina bila sporna u iznosu 347.075,76 € utjecala je na rezultat poslovanja 2024.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1.139.816,87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godišnji obračun ispravka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Povećanje se odnosi na uknjiženje novog broja grla goveda.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dan 31.12.2025.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4d15b3f9a14b45" /><Relationship Type="http://schemas.openxmlformats.org/officeDocument/2006/relationships/numbering" Target="/word/numbering.xml" Id="Rfcb56eb3be264a80" /></Relationships>
</file>